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3E" w:rsidRPr="0059013E" w:rsidRDefault="0059013E" w:rsidP="0059013E">
      <w:pPr>
        <w:pStyle w:val="Default"/>
      </w:pPr>
    </w:p>
    <w:p w:rsidR="0059013E" w:rsidRPr="0059013E" w:rsidRDefault="0059013E" w:rsidP="0059013E">
      <w:pPr>
        <w:pStyle w:val="Default"/>
        <w:jc w:val="center"/>
        <w:rPr>
          <w:sz w:val="32"/>
          <w:szCs w:val="28"/>
        </w:rPr>
      </w:pPr>
      <w:r w:rsidRPr="0059013E">
        <w:rPr>
          <w:b/>
          <w:bCs/>
          <w:sz w:val="32"/>
          <w:szCs w:val="28"/>
        </w:rPr>
        <w:t>Program wykładu z przedmiotu „Fizjologia roślin II”</w:t>
      </w:r>
    </w:p>
    <w:p w:rsidR="0059013E" w:rsidRPr="0059013E" w:rsidRDefault="0059013E" w:rsidP="0059013E">
      <w:pPr>
        <w:pStyle w:val="Default"/>
        <w:jc w:val="center"/>
        <w:rPr>
          <w:b/>
          <w:bCs/>
          <w:sz w:val="32"/>
          <w:szCs w:val="28"/>
        </w:rPr>
      </w:pPr>
      <w:r w:rsidRPr="0059013E">
        <w:rPr>
          <w:b/>
          <w:bCs/>
          <w:sz w:val="32"/>
          <w:szCs w:val="28"/>
        </w:rPr>
        <w:t>w roku akademickim 2021/2022</w:t>
      </w:r>
    </w:p>
    <w:p w:rsidR="0059013E" w:rsidRDefault="0059013E" w:rsidP="0059013E">
      <w:pPr>
        <w:pStyle w:val="Default"/>
        <w:jc w:val="center"/>
        <w:rPr>
          <w:sz w:val="28"/>
          <w:szCs w:val="28"/>
        </w:rPr>
      </w:pPr>
    </w:p>
    <w:p w:rsidR="0059013E" w:rsidRPr="0059013E" w:rsidRDefault="0059013E" w:rsidP="0059013E">
      <w:pPr>
        <w:pStyle w:val="Default"/>
        <w:jc w:val="both"/>
        <w:rPr>
          <w:sz w:val="28"/>
          <w:szCs w:val="28"/>
        </w:rPr>
      </w:pPr>
    </w:p>
    <w:p w:rsidR="0059013E" w:rsidRPr="0059013E" w:rsidRDefault="0059013E" w:rsidP="0059013E">
      <w:pPr>
        <w:pStyle w:val="Default"/>
        <w:spacing w:after="197"/>
        <w:jc w:val="both"/>
        <w:rPr>
          <w:sz w:val="28"/>
          <w:szCs w:val="28"/>
        </w:rPr>
      </w:pPr>
      <w:r w:rsidRPr="0059013E">
        <w:rPr>
          <w:sz w:val="28"/>
          <w:szCs w:val="28"/>
        </w:rPr>
        <w:t xml:space="preserve">1. Wzrost - architektura pędu roślin. </w:t>
      </w:r>
    </w:p>
    <w:p w:rsidR="0059013E" w:rsidRPr="0059013E" w:rsidRDefault="0059013E" w:rsidP="0059013E">
      <w:pPr>
        <w:pStyle w:val="Default"/>
        <w:spacing w:after="197"/>
        <w:jc w:val="both"/>
        <w:rPr>
          <w:sz w:val="28"/>
          <w:szCs w:val="28"/>
        </w:rPr>
      </w:pPr>
      <w:r w:rsidRPr="0059013E">
        <w:rPr>
          <w:sz w:val="28"/>
          <w:szCs w:val="28"/>
        </w:rPr>
        <w:t xml:space="preserve">2. Wzrost - hormony roślinne - synteza, percepcja i transdukcja sygnału, współdziałanie. </w:t>
      </w:r>
    </w:p>
    <w:p w:rsidR="0059013E" w:rsidRPr="0059013E" w:rsidRDefault="0059013E" w:rsidP="0059013E">
      <w:pPr>
        <w:pStyle w:val="Default"/>
        <w:spacing w:after="197"/>
        <w:jc w:val="both"/>
        <w:rPr>
          <w:sz w:val="28"/>
          <w:szCs w:val="28"/>
        </w:rPr>
      </w:pPr>
      <w:r w:rsidRPr="0059013E">
        <w:rPr>
          <w:sz w:val="28"/>
          <w:szCs w:val="28"/>
        </w:rPr>
        <w:t xml:space="preserve">3. Deficyt wody – adaptacje. </w:t>
      </w:r>
    </w:p>
    <w:p w:rsidR="0059013E" w:rsidRPr="0059013E" w:rsidRDefault="0059013E" w:rsidP="0059013E">
      <w:pPr>
        <w:pStyle w:val="Default"/>
        <w:spacing w:after="197"/>
        <w:jc w:val="both"/>
        <w:rPr>
          <w:sz w:val="28"/>
          <w:szCs w:val="28"/>
        </w:rPr>
      </w:pPr>
      <w:r w:rsidRPr="0059013E">
        <w:rPr>
          <w:sz w:val="28"/>
          <w:szCs w:val="28"/>
        </w:rPr>
        <w:t xml:space="preserve">4. Gospodarka mineralna - transportery mikro i makroelementów - regulacja ekspresji. </w:t>
      </w:r>
    </w:p>
    <w:p w:rsidR="0059013E" w:rsidRPr="0059013E" w:rsidRDefault="0059013E" w:rsidP="0059013E">
      <w:pPr>
        <w:pStyle w:val="Default"/>
        <w:spacing w:after="197"/>
        <w:jc w:val="both"/>
        <w:rPr>
          <w:sz w:val="28"/>
          <w:szCs w:val="28"/>
        </w:rPr>
      </w:pPr>
      <w:r w:rsidRPr="0059013E">
        <w:rPr>
          <w:sz w:val="28"/>
          <w:szCs w:val="28"/>
        </w:rPr>
        <w:t xml:space="preserve">5. Fotosynteza - regulacja przez czynniki środowiskowe. </w:t>
      </w:r>
    </w:p>
    <w:p w:rsidR="0059013E" w:rsidRPr="0059013E" w:rsidRDefault="0059013E" w:rsidP="0059013E">
      <w:pPr>
        <w:pStyle w:val="Default"/>
        <w:spacing w:after="197"/>
        <w:jc w:val="both"/>
        <w:rPr>
          <w:sz w:val="28"/>
          <w:szCs w:val="28"/>
        </w:rPr>
      </w:pPr>
      <w:r w:rsidRPr="0059013E">
        <w:rPr>
          <w:sz w:val="28"/>
          <w:szCs w:val="28"/>
        </w:rPr>
        <w:t xml:space="preserve">6. Stres oksydacyjny jako uniwersalna odpowiedź komórki na czynniki abiotyczne. </w:t>
      </w:r>
      <w:bookmarkStart w:id="0" w:name="_GoBack"/>
      <w:bookmarkEnd w:id="0"/>
    </w:p>
    <w:p w:rsidR="0059013E" w:rsidRPr="0059013E" w:rsidRDefault="0059013E" w:rsidP="0059013E">
      <w:pPr>
        <w:pStyle w:val="Default"/>
        <w:jc w:val="both"/>
        <w:rPr>
          <w:sz w:val="28"/>
          <w:szCs w:val="28"/>
        </w:rPr>
      </w:pPr>
      <w:r w:rsidRPr="0059013E">
        <w:rPr>
          <w:sz w:val="28"/>
          <w:szCs w:val="28"/>
        </w:rPr>
        <w:t xml:space="preserve">7. Starzenie i śmierć komórki roślinnej. </w:t>
      </w:r>
    </w:p>
    <w:p w:rsidR="0059013E" w:rsidRDefault="0059013E" w:rsidP="0059013E">
      <w:pPr>
        <w:pStyle w:val="Default"/>
        <w:rPr>
          <w:sz w:val="28"/>
          <w:szCs w:val="28"/>
        </w:rPr>
      </w:pPr>
    </w:p>
    <w:p w:rsidR="0059013E" w:rsidRDefault="0059013E" w:rsidP="0059013E">
      <w:pPr>
        <w:pStyle w:val="Default"/>
        <w:rPr>
          <w:sz w:val="28"/>
          <w:szCs w:val="28"/>
        </w:rPr>
      </w:pPr>
    </w:p>
    <w:p w:rsidR="0059013E" w:rsidRPr="0059013E" w:rsidRDefault="0059013E" w:rsidP="0059013E">
      <w:pPr>
        <w:pStyle w:val="Default"/>
        <w:rPr>
          <w:sz w:val="28"/>
          <w:szCs w:val="28"/>
        </w:rPr>
      </w:pPr>
    </w:p>
    <w:p w:rsidR="0059013E" w:rsidRPr="0059013E" w:rsidRDefault="0059013E" w:rsidP="0059013E">
      <w:pPr>
        <w:pStyle w:val="Default"/>
        <w:jc w:val="right"/>
        <w:rPr>
          <w:sz w:val="28"/>
          <w:szCs w:val="28"/>
        </w:rPr>
      </w:pPr>
      <w:r w:rsidRPr="0059013E">
        <w:rPr>
          <w:sz w:val="28"/>
          <w:szCs w:val="28"/>
        </w:rPr>
        <w:t xml:space="preserve">dr hab. Wojciech Pokora </w:t>
      </w:r>
    </w:p>
    <w:p w:rsidR="00AC68A1" w:rsidRPr="0059013E" w:rsidRDefault="0059013E" w:rsidP="0059013E">
      <w:pPr>
        <w:jc w:val="right"/>
        <w:rPr>
          <w:rFonts w:ascii="Times New Roman" w:hAnsi="Times New Roman" w:cs="Times New Roman"/>
        </w:rPr>
      </w:pPr>
      <w:r w:rsidRPr="0059013E">
        <w:rPr>
          <w:rFonts w:ascii="Times New Roman" w:hAnsi="Times New Roman" w:cs="Times New Roman"/>
          <w:sz w:val="28"/>
          <w:szCs w:val="28"/>
        </w:rPr>
        <w:t>pokora@ug.edu.pl; B/212.</w:t>
      </w:r>
    </w:p>
    <w:sectPr w:rsidR="00AC68A1" w:rsidRPr="0059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3E"/>
    <w:rsid w:val="0059013E"/>
    <w:rsid w:val="00A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BA9C-C97A-480B-BA03-83CE7650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MartynaZ</dc:creator>
  <cp:keywords/>
  <dc:description/>
  <cp:lastModifiedBy>MartynaZ</cp:lastModifiedBy>
  <cp:revision>1</cp:revision>
  <dcterms:created xsi:type="dcterms:W3CDTF">2022-02-16T11:48:00Z</dcterms:created>
  <dcterms:modified xsi:type="dcterms:W3CDTF">2022-02-16T11:49:00Z</dcterms:modified>
</cp:coreProperties>
</file>